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374" w:rsidRPr="000C4374" w:rsidRDefault="000C4374" w:rsidP="000C4374">
      <w:pPr>
        <w:spacing w:before="120" w:after="120" w:line="240" w:lineRule="auto"/>
        <w:jc w:val="center"/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Tahoma" w:eastAsia="Times New Roman" w:hAnsi="Tahoma" w:cs="Tahoma"/>
          <w:b/>
          <w:bCs/>
          <w:color w:val="806000" w:themeColor="accent4" w:themeShade="80"/>
          <w:sz w:val="27"/>
          <w:szCs w:val="27"/>
          <w:lang w:eastAsia="ru-RU"/>
        </w:rPr>
        <w:t>Состав методического объединения:</w:t>
      </w:r>
    </w:p>
    <w:p w:rsidR="000C4374" w:rsidRPr="000C4374" w:rsidRDefault="000C4374" w:rsidP="000C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6000" w:themeColor="accent4" w:themeShade="80"/>
          <w:sz w:val="15"/>
          <w:szCs w:val="15"/>
          <w:lang w:eastAsia="ru-RU"/>
        </w:rPr>
      </w:pPr>
      <w:proofErr w:type="spellStart"/>
      <w:r w:rsidRPr="000C4374">
        <w:rPr>
          <w:rFonts w:ascii="Tahoma" w:eastAsia="Times New Roman" w:hAnsi="Tahoma" w:cs="Tahoma"/>
          <w:color w:val="806000" w:themeColor="accent4" w:themeShade="80"/>
          <w:sz w:val="27"/>
          <w:szCs w:val="27"/>
          <w:lang w:eastAsia="ru-RU"/>
        </w:rPr>
        <w:t>Яшадова</w:t>
      </w:r>
      <w:proofErr w:type="spellEnd"/>
      <w:r w:rsidRPr="000C4374">
        <w:rPr>
          <w:rFonts w:ascii="Tahoma" w:eastAsia="Times New Roman" w:hAnsi="Tahoma" w:cs="Tahoma"/>
          <w:color w:val="806000" w:themeColor="accent4" w:themeShade="80"/>
          <w:sz w:val="27"/>
          <w:szCs w:val="27"/>
          <w:lang w:eastAsia="ru-RU"/>
        </w:rPr>
        <w:t xml:space="preserve"> Х.А.</w:t>
      </w:r>
    </w:p>
    <w:p w:rsidR="000C4374" w:rsidRPr="000C4374" w:rsidRDefault="000C4374" w:rsidP="000C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6000" w:themeColor="accent4" w:themeShade="80"/>
          <w:sz w:val="15"/>
          <w:szCs w:val="15"/>
          <w:lang w:eastAsia="ru-RU"/>
        </w:rPr>
      </w:pPr>
      <w:proofErr w:type="spellStart"/>
      <w:r w:rsidRPr="000C4374">
        <w:rPr>
          <w:rFonts w:ascii="Tahoma" w:eastAsia="Times New Roman" w:hAnsi="Tahoma" w:cs="Tahoma"/>
          <w:color w:val="806000" w:themeColor="accent4" w:themeShade="80"/>
          <w:sz w:val="27"/>
          <w:szCs w:val="27"/>
          <w:lang w:eastAsia="ru-RU"/>
        </w:rPr>
        <w:t>Дунгуева</w:t>
      </w:r>
      <w:proofErr w:type="spellEnd"/>
      <w:r w:rsidRPr="000C4374">
        <w:rPr>
          <w:rFonts w:ascii="Tahoma" w:eastAsia="Times New Roman" w:hAnsi="Tahoma" w:cs="Tahoma"/>
          <w:color w:val="806000" w:themeColor="accent4" w:themeShade="80"/>
          <w:sz w:val="27"/>
          <w:szCs w:val="27"/>
          <w:lang w:eastAsia="ru-RU"/>
        </w:rPr>
        <w:t xml:space="preserve"> З.Н.</w:t>
      </w:r>
    </w:p>
    <w:p w:rsidR="000C4374" w:rsidRPr="000C4374" w:rsidRDefault="000C4374" w:rsidP="000C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806000" w:themeColor="accent4" w:themeShade="80"/>
          <w:sz w:val="27"/>
          <w:szCs w:val="27"/>
          <w:lang w:eastAsia="ru-RU"/>
        </w:rPr>
      </w:pPr>
      <w:proofErr w:type="spellStart"/>
      <w:r w:rsidRPr="000C4374">
        <w:rPr>
          <w:rFonts w:ascii="Tahoma" w:eastAsia="Times New Roman" w:hAnsi="Tahoma" w:cs="Tahoma"/>
          <w:color w:val="806000" w:themeColor="accent4" w:themeShade="80"/>
          <w:sz w:val="27"/>
          <w:szCs w:val="27"/>
          <w:lang w:eastAsia="ru-RU"/>
        </w:rPr>
        <w:t>Умарова</w:t>
      </w:r>
      <w:proofErr w:type="spellEnd"/>
      <w:r w:rsidRPr="000C4374">
        <w:rPr>
          <w:rFonts w:ascii="Tahoma" w:eastAsia="Times New Roman" w:hAnsi="Tahoma" w:cs="Tahoma"/>
          <w:color w:val="806000" w:themeColor="accent4" w:themeShade="80"/>
          <w:sz w:val="27"/>
          <w:szCs w:val="27"/>
          <w:lang w:eastAsia="ru-RU"/>
        </w:rPr>
        <w:t xml:space="preserve"> Я.Р.</w:t>
      </w:r>
    </w:p>
    <w:p w:rsidR="000C4374" w:rsidRPr="000C4374" w:rsidRDefault="000C4374" w:rsidP="000C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6000" w:themeColor="accent4" w:themeShade="80"/>
          <w:sz w:val="15"/>
          <w:szCs w:val="15"/>
          <w:lang w:eastAsia="ru-RU"/>
        </w:rPr>
      </w:pPr>
      <w:proofErr w:type="spellStart"/>
      <w:r w:rsidRPr="000C4374">
        <w:rPr>
          <w:rFonts w:ascii="Tahoma" w:eastAsia="Times New Roman" w:hAnsi="Tahoma" w:cs="Tahoma"/>
          <w:color w:val="806000" w:themeColor="accent4" w:themeShade="80"/>
          <w:sz w:val="27"/>
          <w:szCs w:val="27"/>
          <w:lang w:eastAsia="ru-RU"/>
        </w:rPr>
        <w:t>Шовхалова</w:t>
      </w:r>
      <w:proofErr w:type="spellEnd"/>
      <w:r w:rsidRPr="000C4374">
        <w:rPr>
          <w:rFonts w:ascii="Tahoma" w:eastAsia="Times New Roman" w:hAnsi="Tahoma" w:cs="Tahoma"/>
          <w:color w:val="806000" w:themeColor="accent4" w:themeShade="80"/>
          <w:sz w:val="27"/>
          <w:szCs w:val="27"/>
          <w:lang w:eastAsia="ru-RU"/>
        </w:rPr>
        <w:t xml:space="preserve"> Э.Н.</w:t>
      </w:r>
    </w:p>
    <w:p w:rsidR="000C4374" w:rsidRPr="000C4374" w:rsidRDefault="000C4374" w:rsidP="000C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Courier New" w:eastAsia="Times New Roman" w:hAnsi="Courier New" w:cs="Courier New"/>
          <w:color w:val="806000" w:themeColor="accent4" w:themeShade="80"/>
          <w:sz w:val="15"/>
          <w:szCs w:val="15"/>
          <w:lang w:eastAsia="ru-RU"/>
        </w:rPr>
        <w:t> </w:t>
      </w:r>
    </w:p>
    <w:p w:rsidR="000C4374" w:rsidRPr="000C4374" w:rsidRDefault="000C4374" w:rsidP="000C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Courier New" w:eastAsia="Times New Roman" w:hAnsi="Courier New" w:cs="Courier New"/>
          <w:color w:val="806000" w:themeColor="accent4" w:themeShade="80"/>
          <w:sz w:val="15"/>
          <w:szCs w:val="15"/>
          <w:lang w:eastAsia="ru-RU"/>
        </w:rPr>
        <w:t> </w:t>
      </w:r>
    </w:p>
    <w:p w:rsidR="000C4374" w:rsidRPr="000C4374" w:rsidRDefault="000C4374" w:rsidP="000C4374">
      <w:pPr>
        <w:spacing w:before="120" w:after="120" w:line="240" w:lineRule="auto"/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  <w:t> </w:t>
      </w:r>
    </w:p>
    <w:p w:rsidR="000C4374" w:rsidRPr="000C4374" w:rsidRDefault="000C4374" w:rsidP="000C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Tahoma" w:eastAsia="Times New Roman" w:hAnsi="Tahoma" w:cs="Tahoma"/>
          <w:color w:val="806000" w:themeColor="accent4" w:themeShade="80"/>
          <w:sz w:val="27"/>
          <w:szCs w:val="27"/>
          <w:lang w:eastAsia="ru-RU"/>
        </w:rPr>
        <w:t xml:space="preserve">Руководит методическим объединением </w:t>
      </w:r>
    </w:p>
    <w:p w:rsidR="000C4374" w:rsidRPr="000C4374" w:rsidRDefault="000C4374" w:rsidP="000C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Tahoma" w:eastAsia="Times New Roman" w:hAnsi="Tahoma" w:cs="Tahoma"/>
          <w:color w:val="806000" w:themeColor="accent4" w:themeShade="80"/>
          <w:sz w:val="27"/>
          <w:szCs w:val="27"/>
          <w:lang w:eastAsia="ru-RU"/>
        </w:rPr>
        <w:t>учителей русского языка и литературы</w:t>
      </w:r>
    </w:p>
    <w:p w:rsidR="000C4374" w:rsidRPr="000C4374" w:rsidRDefault="000C4374" w:rsidP="000C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806000" w:themeColor="accent4" w:themeShade="80"/>
          <w:sz w:val="15"/>
          <w:szCs w:val="15"/>
          <w:lang w:eastAsia="ru-RU"/>
        </w:rPr>
      </w:pPr>
      <w:proofErr w:type="spellStart"/>
      <w:r w:rsidRPr="000C4374">
        <w:rPr>
          <w:rFonts w:ascii="Tahoma" w:eastAsia="Times New Roman" w:hAnsi="Tahoma" w:cs="Tahoma"/>
          <w:b/>
          <w:bCs/>
          <w:color w:val="806000" w:themeColor="accent4" w:themeShade="80"/>
          <w:sz w:val="27"/>
          <w:szCs w:val="27"/>
          <w:lang w:eastAsia="ru-RU"/>
        </w:rPr>
        <w:t>Израпов</w:t>
      </w:r>
      <w:proofErr w:type="spellEnd"/>
      <w:r w:rsidRPr="000C4374">
        <w:rPr>
          <w:rFonts w:ascii="Tahoma" w:eastAsia="Times New Roman" w:hAnsi="Tahoma" w:cs="Tahoma"/>
          <w:b/>
          <w:bCs/>
          <w:color w:val="806000" w:themeColor="accent4" w:themeShade="80"/>
          <w:sz w:val="27"/>
          <w:szCs w:val="27"/>
          <w:lang w:eastAsia="ru-RU"/>
        </w:rPr>
        <w:t xml:space="preserve"> </w:t>
      </w:r>
      <w:proofErr w:type="spellStart"/>
      <w:r w:rsidRPr="000C4374">
        <w:rPr>
          <w:rFonts w:ascii="Tahoma" w:eastAsia="Times New Roman" w:hAnsi="Tahoma" w:cs="Tahoma"/>
          <w:b/>
          <w:bCs/>
          <w:color w:val="806000" w:themeColor="accent4" w:themeShade="80"/>
          <w:sz w:val="27"/>
          <w:szCs w:val="27"/>
          <w:lang w:eastAsia="ru-RU"/>
        </w:rPr>
        <w:t>Маусер</w:t>
      </w:r>
      <w:proofErr w:type="spellEnd"/>
      <w:r w:rsidRPr="000C4374">
        <w:rPr>
          <w:rFonts w:ascii="Tahoma" w:eastAsia="Times New Roman" w:hAnsi="Tahoma" w:cs="Tahoma"/>
          <w:b/>
          <w:bCs/>
          <w:color w:val="806000" w:themeColor="accent4" w:themeShade="80"/>
          <w:sz w:val="27"/>
          <w:szCs w:val="27"/>
          <w:lang w:eastAsia="ru-RU"/>
        </w:rPr>
        <w:t xml:space="preserve"> </w:t>
      </w:r>
      <w:proofErr w:type="spellStart"/>
      <w:r w:rsidRPr="000C4374">
        <w:rPr>
          <w:rFonts w:ascii="Tahoma" w:eastAsia="Times New Roman" w:hAnsi="Tahoma" w:cs="Tahoma"/>
          <w:b/>
          <w:bCs/>
          <w:color w:val="806000" w:themeColor="accent4" w:themeShade="80"/>
          <w:sz w:val="27"/>
          <w:szCs w:val="27"/>
          <w:lang w:eastAsia="ru-RU"/>
        </w:rPr>
        <w:t>Каимович</w:t>
      </w:r>
      <w:proofErr w:type="spellEnd"/>
    </w:p>
    <w:p w:rsidR="000C4374" w:rsidRPr="000C4374" w:rsidRDefault="000C4374" w:rsidP="000C4374">
      <w:pPr>
        <w:spacing w:before="120" w:after="120" w:line="240" w:lineRule="auto"/>
        <w:jc w:val="center"/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</w:pPr>
    </w:p>
    <w:p w:rsidR="000C4374" w:rsidRPr="000C4374" w:rsidRDefault="000C4374" w:rsidP="000C4374">
      <w:pPr>
        <w:spacing w:before="120" w:after="120" w:line="240" w:lineRule="auto"/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  <w:t> </w:t>
      </w:r>
    </w:p>
    <w:p w:rsidR="000C4374" w:rsidRPr="000C4374" w:rsidRDefault="000C4374" w:rsidP="000C4374">
      <w:pPr>
        <w:spacing w:before="120" w:after="120" w:line="240" w:lineRule="auto"/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Tahoma" w:eastAsia="Times New Roman" w:hAnsi="Tahoma" w:cs="Tahoma"/>
          <w:b/>
          <w:bCs/>
          <w:color w:val="806000" w:themeColor="accent4" w:themeShade="80"/>
          <w:sz w:val="28"/>
          <w:szCs w:val="28"/>
          <w:lang w:eastAsia="ru-RU"/>
        </w:rPr>
        <w:t>Тема методического объединения</w:t>
      </w:r>
      <w:r w:rsidRPr="000C4374">
        <w:rPr>
          <w:rFonts w:ascii="Tahoma" w:eastAsia="Times New Roman" w:hAnsi="Tahoma" w:cs="Tahoma"/>
          <w:b/>
          <w:bCs/>
          <w:color w:val="806000" w:themeColor="accent4" w:themeShade="80"/>
          <w:sz w:val="24"/>
          <w:szCs w:val="24"/>
          <w:lang w:eastAsia="ru-RU"/>
        </w:rPr>
        <w:t>:</w:t>
      </w:r>
    </w:p>
    <w:p w:rsidR="000C4374" w:rsidRPr="000C4374" w:rsidRDefault="000C4374" w:rsidP="000C4374">
      <w:pPr>
        <w:spacing w:before="120" w:after="120" w:line="240" w:lineRule="auto"/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Tahoma" w:eastAsia="Times New Roman" w:hAnsi="Tahoma" w:cs="Tahoma"/>
          <w:b/>
          <w:bCs/>
          <w:color w:val="806000" w:themeColor="accent4" w:themeShade="80"/>
          <w:sz w:val="24"/>
          <w:szCs w:val="24"/>
          <w:lang w:eastAsia="ru-RU"/>
        </w:rPr>
        <w:br/>
      </w:r>
      <w:r w:rsidRPr="000C4374">
        <w:rPr>
          <w:rFonts w:ascii="Tahoma" w:eastAsia="Times New Roman" w:hAnsi="Tahoma" w:cs="Tahoma"/>
          <w:color w:val="806000" w:themeColor="accent4" w:themeShade="80"/>
          <w:sz w:val="24"/>
          <w:szCs w:val="24"/>
          <w:lang w:eastAsia="ru-RU"/>
        </w:rPr>
        <w:t> «Овладение учащимися системой знаний в области филологии, необходимых для применения</w:t>
      </w:r>
      <w:r w:rsidRPr="000C4374">
        <w:rPr>
          <w:rFonts w:ascii="Tahoma" w:eastAsia="Times New Roman" w:hAnsi="Tahoma" w:cs="Tahoma"/>
          <w:color w:val="806000" w:themeColor="accent4" w:themeShade="80"/>
          <w:sz w:val="24"/>
          <w:szCs w:val="24"/>
          <w:lang w:eastAsia="ru-RU"/>
        </w:rPr>
        <w:br/>
        <w:t>в практической деятельности, изучения системных дисциплин, продолжения образования».</w:t>
      </w:r>
    </w:p>
    <w:p w:rsidR="000C4374" w:rsidRPr="000C4374" w:rsidRDefault="000C4374" w:rsidP="000C4374">
      <w:pPr>
        <w:spacing w:before="120" w:after="120" w:line="240" w:lineRule="auto"/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</w:pPr>
    </w:p>
    <w:p w:rsidR="000C4374" w:rsidRPr="000C4374" w:rsidRDefault="000C4374" w:rsidP="000C4374">
      <w:pPr>
        <w:spacing w:before="120" w:after="120" w:line="240" w:lineRule="auto"/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Tahoma" w:eastAsia="Times New Roman" w:hAnsi="Tahoma" w:cs="Tahoma"/>
          <w:b/>
          <w:bCs/>
          <w:color w:val="806000" w:themeColor="accent4" w:themeShade="80"/>
          <w:sz w:val="28"/>
          <w:szCs w:val="28"/>
          <w:lang w:eastAsia="ru-RU"/>
        </w:rPr>
        <w:t>Цели работы методического объединения</w:t>
      </w:r>
      <w:r w:rsidRPr="000C4374">
        <w:rPr>
          <w:rFonts w:ascii="Tahoma" w:eastAsia="Times New Roman" w:hAnsi="Tahoma" w:cs="Tahoma"/>
          <w:b/>
          <w:bCs/>
          <w:color w:val="806000" w:themeColor="accent4" w:themeShade="80"/>
          <w:sz w:val="24"/>
          <w:szCs w:val="24"/>
          <w:lang w:eastAsia="ru-RU"/>
        </w:rPr>
        <w:t>:</w:t>
      </w:r>
    </w:p>
    <w:p w:rsidR="000C4374" w:rsidRPr="000C4374" w:rsidRDefault="000C4374" w:rsidP="000C4374">
      <w:pPr>
        <w:spacing w:before="120" w:after="120" w:line="240" w:lineRule="auto"/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Tahoma" w:eastAsia="Times New Roman" w:hAnsi="Tahoma" w:cs="Tahoma"/>
          <w:color w:val="806000" w:themeColor="accent4" w:themeShade="80"/>
          <w:sz w:val="24"/>
          <w:szCs w:val="24"/>
          <w:lang w:eastAsia="ru-RU"/>
        </w:rPr>
        <w:t>с</w:t>
      </w:r>
      <w:r w:rsidRPr="000C4374">
        <w:rPr>
          <w:rFonts w:ascii="Tahoma" w:eastAsia="Times New Roman" w:hAnsi="Tahoma" w:cs="Tahoma"/>
          <w:color w:val="806000" w:themeColor="accent4" w:themeShade="80"/>
          <w:sz w:val="27"/>
          <w:szCs w:val="27"/>
          <w:lang w:eastAsia="ru-RU"/>
        </w:rPr>
        <w:t>овершенствовать уровень педагогического мастерства учителей-филологов, уровень их компетентности в области учебных предметов и методики их преподавания в условиях обновления содержания образования</w:t>
      </w:r>
    </w:p>
    <w:p w:rsidR="000C4374" w:rsidRPr="000C4374" w:rsidRDefault="000C4374" w:rsidP="000C4374">
      <w:pPr>
        <w:spacing w:before="559" w:after="559" w:line="240" w:lineRule="auto"/>
        <w:jc w:val="center"/>
        <w:outlineLvl w:val="5"/>
        <w:rPr>
          <w:rFonts w:ascii="Arial" w:eastAsia="Times New Roman" w:hAnsi="Arial" w:cs="Arial"/>
          <w:b/>
          <w:bCs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Tahoma" w:eastAsia="Times New Roman" w:hAnsi="Tahoma" w:cs="Tahoma"/>
          <w:b/>
          <w:bCs/>
          <w:color w:val="806000" w:themeColor="accent4" w:themeShade="80"/>
          <w:sz w:val="28"/>
          <w:szCs w:val="28"/>
          <w:lang w:eastAsia="ru-RU"/>
        </w:rPr>
        <w:t>Задачи методического объединения учителей русского языка и литературы: </w:t>
      </w:r>
    </w:p>
    <w:p w:rsidR="000C4374" w:rsidRPr="000C4374" w:rsidRDefault="000C4374" w:rsidP="000C4374">
      <w:pPr>
        <w:spacing w:before="120" w:after="120" w:line="240" w:lineRule="auto"/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</w:pPr>
    </w:p>
    <w:p w:rsidR="000C4374" w:rsidRPr="000C4374" w:rsidRDefault="000C4374" w:rsidP="000C4374">
      <w:pPr>
        <w:numPr>
          <w:ilvl w:val="0"/>
          <w:numId w:val="1"/>
        </w:numPr>
        <w:spacing w:before="120" w:after="120" w:line="240" w:lineRule="auto"/>
        <w:ind w:left="480"/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Tahoma" w:eastAsia="Times New Roman" w:hAnsi="Tahoma" w:cs="Tahoma"/>
          <w:color w:val="806000" w:themeColor="accent4" w:themeShade="80"/>
          <w:sz w:val="24"/>
          <w:szCs w:val="24"/>
          <w:lang w:eastAsia="ru-RU"/>
        </w:rPr>
        <w:t xml:space="preserve">Обеспечить содержательную и методическую </w:t>
      </w:r>
      <w:proofErr w:type="gramStart"/>
      <w:r w:rsidRPr="000C4374">
        <w:rPr>
          <w:rFonts w:ascii="Tahoma" w:eastAsia="Times New Roman" w:hAnsi="Tahoma" w:cs="Tahoma"/>
          <w:color w:val="806000" w:themeColor="accent4" w:themeShade="80"/>
          <w:sz w:val="24"/>
          <w:szCs w:val="24"/>
          <w:lang w:eastAsia="ru-RU"/>
        </w:rPr>
        <w:t>преемственность  по</w:t>
      </w:r>
      <w:proofErr w:type="gramEnd"/>
      <w:r w:rsidRPr="000C4374">
        <w:rPr>
          <w:rFonts w:ascii="Tahoma" w:eastAsia="Times New Roman" w:hAnsi="Tahoma" w:cs="Tahoma"/>
          <w:color w:val="806000" w:themeColor="accent4" w:themeShade="80"/>
          <w:sz w:val="24"/>
          <w:szCs w:val="24"/>
          <w:lang w:eastAsia="ru-RU"/>
        </w:rPr>
        <w:t xml:space="preserve"> предмету на всех этапах образования.</w:t>
      </w:r>
    </w:p>
    <w:p w:rsidR="000C4374" w:rsidRPr="000C4374" w:rsidRDefault="000C4374" w:rsidP="000C4374">
      <w:pPr>
        <w:numPr>
          <w:ilvl w:val="0"/>
          <w:numId w:val="1"/>
        </w:numPr>
        <w:spacing w:before="120" w:after="120" w:line="240" w:lineRule="auto"/>
        <w:ind w:left="480"/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Tahoma" w:eastAsia="Times New Roman" w:hAnsi="Tahoma" w:cs="Tahoma"/>
          <w:color w:val="806000" w:themeColor="accent4" w:themeShade="80"/>
          <w:sz w:val="24"/>
          <w:szCs w:val="24"/>
          <w:lang w:eastAsia="ru-RU"/>
        </w:rPr>
        <w:t>Способствовать повышению креативности школьников.</w:t>
      </w:r>
    </w:p>
    <w:p w:rsidR="000C4374" w:rsidRPr="000C4374" w:rsidRDefault="000C4374" w:rsidP="000C4374">
      <w:pPr>
        <w:numPr>
          <w:ilvl w:val="0"/>
          <w:numId w:val="1"/>
        </w:numPr>
        <w:spacing w:before="120" w:after="120" w:line="240" w:lineRule="auto"/>
        <w:ind w:left="480"/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Tahoma" w:eastAsia="Times New Roman" w:hAnsi="Tahoma" w:cs="Tahoma"/>
          <w:color w:val="806000" w:themeColor="accent4" w:themeShade="80"/>
          <w:sz w:val="24"/>
          <w:szCs w:val="24"/>
          <w:lang w:eastAsia="ru-RU"/>
        </w:rPr>
        <w:t>Обеспечить высокий уровень преподавания предмета.</w:t>
      </w:r>
    </w:p>
    <w:p w:rsidR="000C4374" w:rsidRPr="000C4374" w:rsidRDefault="000C4374" w:rsidP="000C4374">
      <w:pPr>
        <w:numPr>
          <w:ilvl w:val="0"/>
          <w:numId w:val="1"/>
        </w:numPr>
        <w:spacing w:before="120" w:after="120" w:line="240" w:lineRule="auto"/>
        <w:ind w:left="480"/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Tahoma" w:eastAsia="Times New Roman" w:hAnsi="Tahoma" w:cs="Tahoma"/>
          <w:color w:val="806000" w:themeColor="accent4" w:themeShade="80"/>
          <w:sz w:val="24"/>
          <w:szCs w:val="24"/>
          <w:lang w:eastAsia="ru-RU"/>
        </w:rPr>
        <w:t>Искать наиболее эффективные формы и методы преподавания для оптимизации образовательного процесса с целью снижения нагрузки учащихся.</w:t>
      </w:r>
    </w:p>
    <w:p w:rsidR="000C4374" w:rsidRPr="000C4374" w:rsidRDefault="000C4374" w:rsidP="000C4374">
      <w:pPr>
        <w:numPr>
          <w:ilvl w:val="0"/>
          <w:numId w:val="1"/>
        </w:numPr>
        <w:spacing w:before="120" w:after="120" w:line="240" w:lineRule="auto"/>
        <w:ind w:left="480"/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Tahoma" w:eastAsia="Times New Roman" w:hAnsi="Tahoma" w:cs="Tahoma"/>
          <w:color w:val="806000" w:themeColor="accent4" w:themeShade="80"/>
          <w:sz w:val="24"/>
          <w:szCs w:val="24"/>
          <w:lang w:eastAsia="ru-RU"/>
        </w:rPr>
        <w:t xml:space="preserve">Использовать возможности уроков русского языка и литературы для развития в каждом учащемся </w:t>
      </w:r>
      <w:proofErr w:type="spellStart"/>
      <w:r w:rsidRPr="000C4374">
        <w:rPr>
          <w:rFonts w:ascii="Tahoma" w:eastAsia="Times New Roman" w:hAnsi="Tahoma" w:cs="Tahoma"/>
          <w:color w:val="806000" w:themeColor="accent4" w:themeShade="80"/>
          <w:sz w:val="24"/>
          <w:szCs w:val="24"/>
          <w:lang w:eastAsia="ru-RU"/>
        </w:rPr>
        <w:t>высокогражданских</w:t>
      </w:r>
      <w:proofErr w:type="spellEnd"/>
      <w:r w:rsidRPr="000C4374">
        <w:rPr>
          <w:rFonts w:ascii="Tahoma" w:eastAsia="Times New Roman" w:hAnsi="Tahoma" w:cs="Tahoma"/>
          <w:color w:val="806000" w:themeColor="accent4" w:themeShade="80"/>
          <w:sz w:val="24"/>
          <w:szCs w:val="24"/>
          <w:lang w:eastAsia="ru-RU"/>
        </w:rPr>
        <w:t xml:space="preserve"> чувств на основе концепции воспитательной работы школы.</w:t>
      </w:r>
    </w:p>
    <w:p w:rsidR="000C4374" w:rsidRPr="000C4374" w:rsidRDefault="000C4374" w:rsidP="000C4374">
      <w:pPr>
        <w:spacing w:before="120" w:after="120" w:line="240" w:lineRule="auto"/>
        <w:jc w:val="center"/>
        <w:rPr>
          <w:rFonts w:ascii="Tahoma" w:eastAsia="Times New Roman" w:hAnsi="Tahoma" w:cs="Tahoma"/>
          <w:b/>
          <w:bCs/>
          <w:color w:val="806000" w:themeColor="accent4" w:themeShade="80"/>
          <w:sz w:val="28"/>
          <w:szCs w:val="28"/>
          <w:lang w:eastAsia="ru-RU"/>
        </w:rPr>
      </w:pPr>
    </w:p>
    <w:p w:rsidR="000C4374" w:rsidRPr="000C4374" w:rsidRDefault="000C4374" w:rsidP="000C4374">
      <w:pPr>
        <w:spacing w:before="120" w:after="120" w:line="240" w:lineRule="auto"/>
        <w:jc w:val="center"/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Tahoma" w:eastAsia="Times New Roman" w:hAnsi="Tahoma" w:cs="Tahoma"/>
          <w:b/>
          <w:bCs/>
          <w:color w:val="806000" w:themeColor="accent4" w:themeShade="80"/>
          <w:sz w:val="28"/>
          <w:szCs w:val="28"/>
          <w:lang w:eastAsia="ru-RU"/>
        </w:rPr>
        <w:lastRenderedPageBreak/>
        <w:t>Приоритетными направлениями деятельности</w:t>
      </w:r>
    </w:p>
    <w:p w:rsidR="000C4374" w:rsidRPr="000C4374" w:rsidRDefault="000C4374" w:rsidP="000C4374">
      <w:pPr>
        <w:spacing w:before="120" w:after="120" w:line="240" w:lineRule="auto"/>
        <w:jc w:val="center"/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Tahoma" w:eastAsia="Times New Roman" w:hAnsi="Tahoma" w:cs="Tahoma"/>
          <w:b/>
          <w:bCs/>
          <w:color w:val="806000" w:themeColor="accent4" w:themeShade="80"/>
          <w:sz w:val="28"/>
          <w:szCs w:val="28"/>
          <w:lang w:eastAsia="ru-RU"/>
        </w:rPr>
        <w:t xml:space="preserve">учителей русского языка и </w:t>
      </w:r>
      <w:bookmarkStart w:id="0" w:name="_GoBack"/>
      <w:bookmarkEnd w:id="0"/>
      <w:r w:rsidRPr="000C4374">
        <w:rPr>
          <w:rFonts w:ascii="Tahoma" w:eastAsia="Times New Roman" w:hAnsi="Tahoma" w:cs="Tahoma"/>
          <w:b/>
          <w:bCs/>
          <w:color w:val="806000" w:themeColor="accent4" w:themeShade="80"/>
          <w:sz w:val="28"/>
          <w:szCs w:val="28"/>
          <w:lang w:eastAsia="ru-RU"/>
        </w:rPr>
        <w:t>литературы нашей школы являются:</w:t>
      </w:r>
    </w:p>
    <w:p w:rsidR="000C4374" w:rsidRPr="000C4374" w:rsidRDefault="000C4374" w:rsidP="000C4374">
      <w:pPr>
        <w:spacing w:before="120" w:after="120" w:line="240" w:lineRule="auto"/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Tahoma" w:eastAsia="Times New Roman" w:hAnsi="Tahoma" w:cs="Tahoma"/>
          <w:b/>
          <w:bCs/>
          <w:color w:val="806000" w:themeColor="accent4" w:themeShade="80"/>
          <w:sz w:val="27"/>
          <w:szCs w:val="27"/>
          <w:lang w:eastAsia="ru-RU"/>
        </w:rPr>
        <w:t>1. </w:t>
      </w:r>
      <w:r w:rsidRPr="000C4374">
        <w:rPr>
          <w:rFonts w:ascii="Tahoma" w:eastAsia="Times New Roman" w:hAnsi="Tahoma" w:cs="Tahoma"/>
          <w:color w:val="806000" w:themeColor="accent4" w:themeShade="80"/>
          <w:sz w:val="27"/>
          <w:szCs w:val="27"/>
          <w:lang w:eastAsia="ru-RU"/>
        </w:rPr>
        <w:t>Профессиональная компетентность учителя и современные технологии обучения русскому языку как средство повышения качества образования в условиях его модернизации.</w:t>
      </w:r>
    </w:p>
    <w:p w:rsidR="000C4374" w:rsidRPr="000C4374" w:rsidRDefault="000C4374" w:rsidP="000C4374">
      <w:pPr>
        <w:spacing w:before="120" w:after="120" w:line="240" w:lineRule="auto"/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Tahoma" w:eastAsia="Times New Roman" w:hAnsi="Tahoma" w:cs="Tahoma"/>
          <w:b/>
          <w:bCs/>
          <w:color w:val="806000" w:themeColor="accent4" w:themeShade="80"/>
          <w:sz w:val="27"/>
          <w:szCs w:val="27"/>
          <w:lang w:eastAsia="ru-RU"/>
        </w:rPr>
        <w:t>2</w:t>
      </w:r>
      <w:r w:rsidRPr="000C4374">
        <w:rPr>
          <w:rFonts w:ascii="Tahoma" w:eastAsia="Times New Roman" w:hAnsi="Tahoma" w:cs="Tahoma"/>
          <w:color w:val="806000" w:themeColor="accent4" w:themeShade="80"/>
          <w:sz w:val="27"/>
          <w:szCs w:val="27"/>
          <w:lang w:eastAsia="ru-RU"/>
        </w:rPr>
        <w:t>.Постановка цели и задач изучения и практической реализации педагогических технологий в обучении русскому языку и литературе.</w:t>
      </w:r>
    </w:p>
    <w:p w:rsidR="000C4374" w:rsidRPr="000C4374" w:rsidRDefault="000C4374" w:rsidP="000C4374">
      <w:pPr>
        <w:spacing w:before="120" w:after="120" w:line="240" w:lineRule="auto"/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Tahoma" w:eastAsia="Times New Roman" w:hAnsi="Tahoma" w:cs="Tahoma"/>
          <w:b/>
          <w:bCs/>
          <w:color w:val="806000" w:themeColor="accent4" w:themeShade="80"/>
          <w:sz w:val="27"/>
          <w:szCs w:val="27"/>
          <w:lang w:eastAsia="ru-RU"/>
        </w:rPr>
        <w:t>3</w:t>
      </w:r>
      <w:r w:rsidRPr="000C4374">
        <w:rPr>
          <w:rFonts w:ascii="Tahoma" w:eastAsia="Times New Roman" w:hAnsi="Tahoma" w:cs="Tahoma"/>
          <w:color w:val="806000" w:themeColor="accent4" w:themeShade="80"/>
          <w:sz w:val="27"/>
          <w:szCs w:val="27"/>
          <w:lang w:eastAsia="ru-RU"/>
        </w:rPr>
        <w:t>. Профессиональная компетентность учителя русского языка и литературы в решении педагогических задач.</w:t>
      </w:r>
    </w:p>
    <w:p w:rsidR="000C4374" w:rsidRPr="000C4374" w:rsidRDefault="000C4374" w:rsidP="000C4374">
      <w:pPr>
        <w:spacing w:before="120" w:after="120" w:line="240" w:lineRule="auto"/>
        <w:rPr>
          <w:rFonts w:ascii="Arial" w:eastAsia="Times New Roman" w:hAnsi="Arial" w:cs="Arial"/>
          <w:color w:val="806000" w:themeColor="accent4" w:themeShade="80"/>
          <w:sz w:val="15"/>
          <w:szCs w:val="15"/>
          <w:lang w:eastAsia="ru-RU"/>
        </w:rPr>
      </w:pPr>
      <w:r w:rsidRPr="000C4374">
        <w:rPr>
          <w:rFonts w:ascii="Tahoma" w:eastAsia="Times New Roman" w:hAnsi="Tahoma" w:cs="Tahoma"/>
          <w:b/>
          <w:bCs/>
          <w:color w:val="806000" w:themeColor="accent4" w:themeShade="80"/>
          <w:sz w:val="27"/>
          <w:szCs w:val="27"/>
          <w:lang w:eastAsia="ru-RU"/>
        </w:rPr>
        <w:t>4</w:t>
      </w:r>
      <w:r w:rsidRPr="000C4374">
        <w:rPr>
          <w:rFonts w:ascii="Tahoma" w:eastAsia="Times New Roman" w:hAnsi="Tahoma" w:cs="Tahoma"/>
          <w:color w:val="806000" w:themeColor="accent4" w:themeShade="80"/>
          <w:sz w:val="27"/>
          <w:szCs w:val="27"/>
          <w:lang w:eastAsia="ru-RU"/>
        </w:rPr>
        <w:t>.Патриотическое и гражданское воспитание подрастающего поколения, воспитание толерантности, создание условий, способствующих успешной социализации личности средствами литературного и лингвистического образования.</w:t>
      </w:r>
    </w:p>
    <w:p w:rsidR="000C4374" w:rsidRPr="000C4374" w:rsidRDefault="000C4374" w:rsidP="000C4374">
      <w:pPr>
        <w:spacing w:before="120" w:after="120" w:line="240" w:lineRule="auto"/>
        <w:rPr>
          <w:rFonts w:ascii="Arial" w:eastAsia="Times New Roman" w:hAnsi="Arial" w:cs="Arial"/>
          <w:color w:val="182F3A"/>
          <w:sz w:val="15"/>
          <w:szCs w:val="15"/>
          <w:lang w:eastAsia="ru-RU"/>
        </w:rPr>
      </w:pPr>
      <w:r w:rsidRPr="000C4374">
        <w:rPr>
          <w:rFonts w:ascii="Arial" w:eastAsia="Times New Roman" w:hAnsi="Arial" w:cs="Arial"/>
          <w:color w:val="182F3A"/>
          <w:sz w:val="15"/>
          <w:szCs w:val="15"/>
          <w:lang w:eastAsia="ru-RU"/>
        </w:rPr>
        <w:t> </w:t>
      </w:r>
    </w:p>
    <w:p w:rsidR="000C4374" w:rsidRPr="000C4374" w:rsidRDefault="000C4374" w:rsidP="000C4374">
      <w:pPr>
        <w:spacing w:before="120" w:after="120" w:line="240" w:lineRule="auto"/>
        <w:jc w:val="center"/>
        <w:rPr>
          <w:rFonts w:ascii="Arial" w:eastAsia="Times New Roman" w:hAnsi="Arial" w:cs="Arial"/>
          <w:color w:val="182F3A"/>
          <w:sz w:val="15"/>
          <w:szCs w:val="15"/>
          <w:lang w:eastAsia="ru-RU"/>
        </w:rPr>
      </w:pPr>
      <w:r w:rsidRPr="000C4374">
        <w:rPr>
          <w:rFonts w:ascii="Arial" w:eastAsia="Times New Roman" w:hAnsi="Arial" w:cs="Arial"/>
          <w:noProof/>
          <w:color w:val="182F3A"/>
          <w:sz w:val="15"/>
          <w:szCs w:val="15"/>
          <w:lang w:eastAsia="ru-RU"/>
        </w:rPr>
        <w:drawing>
          <wp:inline distT="0" distB="0" distL="0" distR="0" wp14:anchorId="2E2DC67B" wp14:editId="4E52B703">
            <wp:extent cx="4791075" cy="3124200"/>
            <wp:effectExtent l="0" t="0" r="9525" b="0"/>
            <wp:docPr id="1" name="Рисунок 1" descr="https://encrypted-tbn2.gstatic.com/images?q=tbn:ANd9GcQpu6e1VuUHHkvIcffrQh88Y0jNdXLvd6dHc3oqByOyExC-NKRF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Qpu6e1VuUHHkvIcffrQh88Y0jNdXLvd6dHc3oqByOyExC-NKRF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58" w:rsidRDefault="002F5258"/>
    <w:sectPr w:rsidR="002F5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11873"/>
    <w:multiLevelType w:val="multilevel"/>
    <w:tmpl w:val="48B8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CE"/>
    <w:rsid w:val="000C4374"/>
    <w:rsid w:val="002F5258"/>
    <w:rsid w:val="00F2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AA2B"/>
  <w15:chartTrackingRefBased/>
  <w15:docId w15:val="{644ACA66-0C8C-440E-849B-EA73A91F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2022-09-16T13:40:00Z</dcterms:created>
  <dcterms:modified xsi:type="dcterms:W3CDTF">2022-09-16T13:43:00Z</dcterms:modified>
</cp:coreProperties>
</file>